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9355"/>
        <w:gridCol w:w="4819"/>
      </w:tblGrid>
      <w:tr>
        <w:trPr>
          <w:trHeight w:val="1" w:hRule="atLeast"/>
          <w:jc w:val="left"/>
        </w:trPr>
        <w:tc>
          <w:tcPr>
            <w:tcW w:w="1417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tbl>
            <w:tblPr>
              <w:tblInd w:w="8" w:type="dxa"/>
            </w:tblPr>
            <w:tblGrid>
              <w:gridCol w:w="734"/>
              <w:gridCol w:w="4929"/>
              <w:gridCol w:w="1458"/>
              <w:gridCol w:w="2794"/>
              <w:gridCol w:w="981"/>
              <w:gridCol w:w="276"/>
              <w:gridCol w:w="2994"/>
            </w:tblGrid>
            <w:tr>
              <w:trPr>
                <w:trHeight w:val="1" w:hRule="atLeast"/>
                <w:jc w:val="left"/>
              </w:trPr>
              <w:tc>
                <w:tcPr>
                  <w:tcW w:w="10896" w:type="dxa"/>
                  <w:gridSpan w:val="5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33626F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33626F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b/>
                      <w:color w:val="33626F"/>
                      <w:spacing w:val="0"/>
                      <w:position w:val="0"/>
                      <w:sz w:val="72"/>
                      <w:shd w:fill="auto" w:val="clear"/>
                    </w:rPr>
                  </w:pPr>
                </w:p>
                <w:p>
                  <w:pPr>
                    <w:spacing w:before="75" w:after="75" w:line="240"/>
                    <w:ind w:right="0" w:left="0" w:firstLine="0"/>
                    <w:jc w:val="center"/>
                    <w:rPr>
                      <w:rFonts w:ascii="Monotype Corsiva" w:hAnsi="Monotype Corsiva" w:cs="Monotype Corsiva" w:eastAsia="Monotype Corsiva"/>
                      <w:b/>
                      <w:color w:val="33626F"/>
                      <w:spacing w:val="0"/>
                      <w:position w:val="0"/>
                      <w:sz w:val="16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33626F"/>
                      <w:spacing w:val="0"/>
                      <w:position w:val="0"/>
                      <w:sz w:val="160"/>
                      <w:shd w:fill="auto" w:val="clear"/>
                    </w:rPr>
                    <w:t xml:space="preserve">План</w:t>
                  </w:r>
                  <w:r>
                    <w:rPr>
                      <w:rFonts w:ascii="Monotype Corsiva" w:hAnsi="Monotype Corsiva" w:cs="Monotype Corsiva" w:eastAsia="Monotype Corsiva"/>
                      <w:b/>
                      <w:color w:val="33626F"/>
                      <w:spacing w:val="0"/>
                      <w:position w:val="0"/>
                      <w:sz w:val="160"/>
                      <w:shd w:fill="auto" w:val="clear"/>
                    </w:rPr>
                    <w:t xml:space="preserve"> </w:t>
                  </w:r>
                  <w:r>
                    <w:rPr>
                      <w:rFonts w:ascii="Calibri" w:hAnsi="Calibri" w:cs="Calibri" w:eastAsia="Calibri"/>
                      <w:b/>
                      <w:color w:val="33626F"/>
                      <w:spacing w:val="0"/>
                      <w:position w:val="0"/>
                      <w:sz w:val="160"/>
                      <w:shd w:fill="auto" w:val="clear"/>
                    </w:rPr>
                    <w:t xml:space="preserve">работы</w:t>
                  </w:r>
                </w:p>
                <w:p>
                  <w:pPr>
                    <w:spacing w:before="75" w:after="75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i/>
                      <w:color w:val="33626F"/>
                      <w:spacing w:val="0"/>
                      <w:position w:val="0"/>
                      <w:sz w:val="7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33626F"/>
                      <w:spacing w:val="0"/>
                      <w:position w:val="0"/>
                      <w:sz w:val="72"/>
                      <w:shd w:fill="auto" w:val="clear"/>
                    </w:rPr>
                    <w:t xml:space="preserve">первичной профсоюзной организации</w:t>
                  </w:r>
                </w:p>
                <w:p>
                  <w:pPr>
                    <w:spacing w:before="75" w:after="75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33626F"/>
                      <w:spacing w:val="0"/>
                      <w:position w:val="0"/>
                      <w:sz w:val="7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33626F"/>
                      <w:spacing w:val="0"/>
                      <w:position w:val="0"/>
                      <w:sz w:val="72"/>
                      <w:shd w:fill="auto" w:val="clear"/>
                    </w:rPr>
                    <w:t xml:space="preserve">МБОУ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33626F"/>
                      <w:spacing w:val="0"/>
                      <w:position w:val="0"/>
                      <w:sz w:val="72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33626F"/>
                      <w:spacing w:val="0"/>
                      <w:position w:val="0"/>
                      <w:sz w:val="72"/>
                      <w:shd w:fill="auto" w:val="clear"/>
                    </w:rPr>
                    <w:t xml:space="preserve">Гудермесская СШ № 8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33626F"/>
                      <w:spacing w:val="0"/>
                      <w:position w:val="0"/>
                      <w:sz w:val="72"/>
                      <w:shd w:fill="auto" w:val="clear"/>
                    </w:rPr>
                    <w:t xml:space="preserve">»,</w:t>
                  </w:r>
                </w:p>
                <w:p>
                  <w:pPr>
                    <w:spacing w:before="75" w:after="75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7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33626F"/>
                      <w:spacing w:val="0"/>
                      <w:position w:val="0"/>
                      <w:sz w:val="72"/>
                      <w:shd w:fill="auto" w:val="clear"/>
                    </w:rPr>
                    <w:t xml:space="preserve">на 2016–2017 учебный год.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72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72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                           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ЦЕЛИ И ЗАДАЧИ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ПЕРВИЧНОЙ  ПРОФСОЮЗНОЙ  ОРГАНИЗАЦИИ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МБОУ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Гудермесская СШ №8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»: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реализация уставных задач Профсоюза по представительству и защите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социально-трудовых прав и профессиональных интересов работников школы;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координация действий членов Профсоюза для достижения общих целей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 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профсоюзной организации;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профсоюзный контроль за соблюдением в школе законодательства о труде и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охране труда;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улучшение материального положения, укрепление здоровья и повышение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жизненного уровня работников;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информационное обеспечение членов Профсоюза.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приема в Профсоюз и учет членов Профсоюза.       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создание условий, обеспечивающих вовлечение членов Профсоюза в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профсоюзную работу;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активизация деятельности института уполномоченных по разным направлениям 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      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профсоюзной работы в школе.</w:t>
                  </w: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both"/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6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Verdana" w:hAnsi="Verdana" w:cs="Verdana" w:eastAsia="Verdana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  </w:t>
                  </w:r>
                </w:p>
              </w:tc>
              <w:tc>
                <w:tcPr>
                  <w:tcW w:w="2994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tbl>
                  <w:tblPr/>
                  <w:tblGrid>
                    <w:gridCol w:w="2994"/>
                  </w:tblGrid>
                  <w:tr>
                    <w:trPr>
                      <w:trHeight w:val="150" w:hRule="auto"/>
                      <w:jc w:val="left"/>
                    </w:trPr>
                    <w:tc>
                      <w:tcPr>
                        <w:tcW w:w="29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000000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2994" w:type="dxa"/>
                        <w:tcBorders>
                          <w:top w:val="single" w:color="000000" w:sz="0"/>
                          <w:left w:val="single" w:color="000000" w:sz="0"/>
                          <w:bottom w:val="single" w:color="000000" w:sz="0"/>
                          <w:right w:val="single" w:color="000000" w:sz="0"/>
                        </w:tcBorders>
                        <w:shd w:color="000000" w:fill="ffffff" w:val="clear"/>
                        <w:tcMar>
                          <w:left w:w="112" w:type="dxa"/>
                          <w:right w:w="112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№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п.п.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Мероприятия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Сроки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Ответственный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I.                                          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Профсоюзные собрания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1.1.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1.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Итоги распределения учебной нагрузки  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профкома в составлении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тарификации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Утверждение плана работы на новый</w:t>
                  </w: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2016 – 2017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учебный год.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сентябрь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818" w:hRule="auto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1.2.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совместной работе профсоюзной  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организации и администрации школы по созданию здоровых, безопасных условий    труда, контроля  за выполнением   действующего законодательства в вопросах охраны труда.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ноябрь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839" w:hRule="auto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1.3.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1.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 работе администрации и профкома по  соблюдению трудового законодательства.                                                     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январь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 Бисултанова Л.Д.</w:t>
                  </w:r>
                </w:p>
              </w:tc>
            </w:tr>
            <w:tr>
              <w:trPr>
                <w:trHeight w:val="600" w:hRule="auto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1.4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1.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 ходе работы профсоюзной организации и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администрации школы по выполнению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условий коллективного договора.                                                   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март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600" w:hRule="auto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1.5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1.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Отчётное профсоюзное собрание.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2.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Утверждение плана работы на новый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2017 – 2018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учебный год.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май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 II.                         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Заседания профсоюзного комитета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2.1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состоянии готовности учебных помещений школы, соблюдении условия и охраны труда к началу учебного года.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согласовании расписания уроков.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заключении Соглашения по охране труда.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выверке электронной базы  данных.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подготовке к празднику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ДеньУчителя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»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август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2.2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Об утверждении социального паспорта школы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сентябрь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2.3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Об участии профкома в проведении  аттестации педагогических кадров.</w:t>
                  </w: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проведении рейда по учебным  кабинетам школы с целью анализа состояния охраны труда.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ноябрь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.4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Утверждение годового статистического отчёта.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согласовании графика отпусков работников школы на новый 2017 год.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Об организации Новогодних утренников для детей членов Профсоюза и обеспечение и новогодними подарками.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проведении новогоднего вечера для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сотрудников.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декабрь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2.5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правильности начисления зарплаты.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работе школьного профсоюзного сайта. О подготовке к проведению профсоюзного собрания по выполнению коллективного договора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январь       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2.6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проведении мероприятий, посвященных празднику Дню 8 марта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Февраль 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2.7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Об итогах проверки правильности оформления личных дел и трудовых книжек работников.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март 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2.8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состоянии охраны труда в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кабинетах повышенной опасности.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работе уполномоченного по охране труда.О рассмотрении заявлений членов</w:t>
                  </w: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 в выделении материальной помощи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апрель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 согласовании тарификации сотрудников на новый учебный год.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Об оказании материальной помощи и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поощрение членов профкома по итогам года, за активное участие в организации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профсоюзной работы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май 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ПК 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III.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</w:t>
                  </w: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вопросам социального партнёрства и регулирования трудовых отношений</w:t>
                  </w:r>
                </w:p>
              </w:tc>
            </w:tr>
            <w:tr>
              <w:trPr>
                <w:trHeight w:val="881" w:hRule="auto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3.1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стабильных взаимоприемлемых   производственных отношений с  работодателем.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Мадаева П.Ш.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вопросам СП и регулирования ТО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3.2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Постоянный диалог и взаимодействие с  руководителем по всем рабочим вопросам,  возникающим у членов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Мадаева П.Ш.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3.3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плановых семинарских занятий для членов трудового коллектива до полного усвоения ими содержания принятого коллективного договора. Постоянный контроль за выполнением коллективного договора обеими сторонами, а также соблюдение законов и иных нормативных правовых актов.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2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раза в год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Мадаева П.Ш.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Мадаева П.Ш.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3.4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 Участие при необходимости в досудебном и судебном разрешении трудовых споров.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Мадаева П.Ш.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3.5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согласованном внесении в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коллективный договор изменений и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дополнений, направленных на улучшение социально-трудовых потребностей членов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Мадаева П.Ш.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постоянной связи с местными органами муниципальной власти по всем вопросам, касающихся сохранения и защиты социально-трудовых прав членов трудового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коллектива, других вопрос жизнедеятельности образовательной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организации: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представительство в управлении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образовательным учреждением (участие в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работе педсоветов, совещаний, конференций,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собраний и пр.);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взаимодействие районным представителем и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уполномоченным рессовета Профсоюза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специалистами аппарата рессовета Профсоюза,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вопросам регулирования трудовых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отношений и социального партнёрства;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расписание уроков, распределение учебной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нагрузки;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правила внутреннего трудового распорядка,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графики дежурств, отпусков.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Мадаева П.Ш.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3.7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работы по активному участию членов профсоюза в Некоммерческом Фонде социальной поддержки учителей (ФСПУ).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постоянно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Мадаева П.Ш.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 IV.            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</w:t>
                  </w: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вопросам охраны труда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4.1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Прохождение бесплатного медицинского   обследования.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август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4.2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Планирование и регулирование соблюдения правил техники безопасности кабинетов физики, химии, спортзала, столовой, учебных мастерских.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раза в год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4.3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Активное участие в районных и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республиканских семинарах по вопросам охраны труда и здоровья, в районном и республиканском конкурсе на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Лучшего уполномоченного по охране труда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Осуществление контроля, за соблюдением работодателем законодательных и других нормативных правовых актов об охране труда.Выполнение работниками их обязанностей по обеспечению охраны труда.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4.5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работе комиссий по проведению проверок и обследованию технического состояния зданий, сооружений, на соответствие их нормам и правилам по охране труда.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постоянно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4.6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разработке мероприятий по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предупреждению несчастных случаев на производстве и профессиональных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заболеваний, улучшению условий труда работников.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4.7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Контроль, за соблюдением норм рабочего времени и времени отдыха.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постоянно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4.8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организации первой помощи пострадавшему от несчастных случаев на производстве.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постоянно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4.9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поручению профкома участие в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расследовании несчастных случаев на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производстве.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4.10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Информирование работников о нарушениях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требований безопасности при проведении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работ, состоянии условий и охраны труда в учебном заведении, проведение разъяснительной работы в трудовом коллективе по вопросам охраны труда.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постоянно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Бетмурзаева З.А.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ОТ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V.  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</w:t>
                  </w: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организационно-массовой и уставной работе</w:t>
                  </w:r>
                </w:p>
              </w:tc>
            </w:tr>
            <w:tr>
              <w:trPr>
                <w:trHeight w:val="862" w:hRule="auto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5.1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Укрепление организационного единства профсоюзной организации, увеличение профсоюзного членства.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уполномоченная по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ОМ и уставной работе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5.2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Мотивация о преимуществах членства в организации, о роли и задачах профсоюза, ведение разъяснительной работы о правах и обязанностях членов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5.3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Организационное и протокольное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сопровождение профсоюзных собраний, заседаний профкома и массовых мероприятий.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5.4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Планирование работы профсоюзного комитета и профсоюзных собраний, обеспечение контроля, за выполнением принимаемых решений.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август,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постоянно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5.5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Ведение всей профсоюзной документации, и осуществление контроля, за полнотой уплаты членских взносов и их своевременном перечислением.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5.6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Внесение предложений на заседание профкома: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 моральном и материальном поощрении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членов профсоюза за активное участие в работе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организации;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 организации проверки исполнения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решений вышестоящего профсоюзного органа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вопросам организационно-массовой работы;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 привлечении к ответственности члена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профсоюза, допустившем нарушение устава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организации;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другие вопросы внутрисоюзной работы.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уполномоченная по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ОМ и уставной работе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5.7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работы профсоюзного кружка.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ежемесячно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5.8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электронной базы данных численного и качественного состава членов профсоюза, регулярная работа по обновлению учётных карточек и соблюдению других уставных норм приёма и учёта членов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5.9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Организационное сопровождение деятельности профгруппы, обслуживающего и вспомогательного персонала, ответственность за её работу.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VI.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</w:t>
                  </w: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культурно-массовой и оздоровительной работе</w:t>
                  </w:r>
                </w:p>
                <w:tbl>
                  <w:tblPr/>
                  <w:tblGrid>
                    <w:gridCol w:w="734"/>
                    <w:gridCol w:w="4929"/>
                    <w:gridCol w:w="1458"/>
                    <w:gridCol w:w="2794"/>
                  </w:tblGrid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734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000000" w:fill="ffffff" w:val="clear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>
                        <w:pPr>
                          <w:spacing w:before="0" w:after="18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6.1</w:t>
                        </w:r>
                      </w:p>
                    </w:tc>
                    <w:tc>
                      <w:tcPr>
                        <w:tcW w:w="4929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000000" w:fill="ffffff" w:val="clear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Обеспечение контроля, за выполнением условий коллективного договора в части организации культурно-массовых, оздоровительных мероприятий и организации досуга членов Профсоюза.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000000" w:fill="ffffff" w:val="clear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>
                        <w:pPr>
                          <w:spacing w:before="0" w:after="18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регулярно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000000" w:fill="ffffff" w:val="clear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>
                        <w:pPr>
                          <w:spacing w:before="0" w:after="18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Ясаева М.А. уполномоченная по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color w:val="auto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культурно-массовой и оздоровительной работе</w:t>
                        </w:r>
                      </w:p>
                    </w:tc>
                  </w:tr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734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000000" w:fill="ffffff" w:val="clear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>
                        <w:pPr>
                          <w:spacing w:before="0" w:after="18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.2</w:t>
                        </w:r>
                      </w:p>
                    </w:tc>
                    <w:tc>
                      <w:tcPr>
                        <w:tcW w:w="4929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000000" w:fill="ffffff" w:val="clear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auto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Участие в работе по оздоровлению членовп рофсоюза и членов их семей через активное вовлечение в Некоммерческий Фонд социальной поддержки учителей (ФСПУ).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000000" w:fill="ffffff" w:val="clear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>
                        <w:pPr>
                          <w:spacing w:before="0" w:after="0" w:line="240"/>
                          <w:ind w:right="0" w:lef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в течение</w:t>
                        </w:r>
                      </w:p>
                      <w:p>
                        <w:pPr>
                          <w:spacing w:before="0" w:after="180" w:line="240"/>
                          <w:ind w:right="0" w:left="0" w:firstLine="0"/>
                          <w:jc w:val="center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отчётного периода</w:t>
                        </w:r>
                      </w:p>
                    </w:tc>
                    <w:tc>
                      <w:tcPr>
                        <w:tcW w:w="2794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000000" w:fill="ffffff" w:val="clear"/>
                        <w:tcMar>
                          <w:left w:w="10" w:type="dxa"/>
                          <w:right w:w="10" w:type="dxa"/>
                        </w:tcMar>
                        <w:vAlign w:val="center"/>
                      </w:tcPr>
                      <w:p>
                        <w:pPr>
                          <w:spacing w:before="0" w:after="18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pacing w:val="0"/>
                            <w:position w:val="0"/>
                            <w:sz w:val="28"/>
                            <w:shd w:fill="auto" w:val="clear"/>
                          </w:rPr>
                          <w:t xml:space="preserve">Ясаева М.А.</w:t>
                        </w: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835" w:hRule="auto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6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.3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смотрах-конкурсах организуемых республиканской организацией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 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Ясаева М.А.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6.4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проведении профессиональных праздников, знаменательных дат, организация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чествования ветеранов педагогического труда.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  <w:br/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Ясаева М.А.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6.5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коллективного посещения республиканских музеев, театров, филармонии,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исторических и памятных мест, зияртов, природных заповедников и т. д.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Ясаева М.А.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6.6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Чествование педагогов-юбиляров, а также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исторических и памятных дат учебного заведения.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Ясаева М.А.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6.7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6.8</w:t>
                  </w: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молодёжных мероприятий для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обучающихся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Моя школа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»,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проведение спортивных, культурных состязаний.Организация работы с молодыми педагогам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совместно с республиканскими советами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Молодых педагогов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период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меропр-й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Ясаева М.А.</w:t>
                  </w: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Ясаева М.А.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6.9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Активное сотрудничество и вовлечение членов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профкома и членов Профсоюза в подготовку и проведение культурно-массовых и оздоровительных мероприятий.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Ясаева М.А.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6.10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Регулярное размещение агитационных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материалов за здоровый образ жизни на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профсоюзном информационном стенде.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Ясаева М.А.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6.11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Активное использование заседаний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профсоюзного кружка для эстетического 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нравственного воспитания членов профсоюза.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Ясаева М. 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VII.          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</w:t>
                  </w: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жилищно-бытовым вопросам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7.1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обследовании жилищных, бытовых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 материальных условий членов Профсоюза 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их учёта нуждающихся в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улучшении жилищных условий.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КадыроваМ.Б.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уполномоченная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жилищно-бытовым вопросам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7.2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на собраниях коллектива и назаседаниях профсоюзного кружка семинарскихзанятий с разъяснениями жилищного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законодательства.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Кадырова М.Б.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7.3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Оказание методической и практической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помощи членам профсоюза в подготовке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документов для постановки на жилищный учёт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 администрации муниципального района.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Кадырова М.Б.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7.4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Оказание содействия членам профсоюза, жильё которых пострадало в результате стихийных бедствий, в подготовке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необходимых документов для получения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материальной помощи и компенсационных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выплат.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Кадырова М.Б.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7.5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белхи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силами работниковтрудового коллектива по проведению текущегоремонта жилья ветеранов педагогического труда, решение других бытовых вопросов.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Кадырова М.Б.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7.6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посещения заболевших членов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профсоюза. 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Кадыровыа М.Б.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7.7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Содействие членам Профсоюза в устройстве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детей в детские дошкольные учреждения, в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летние оздоровительные лагеря.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Кадырова М.Б.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7.8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совместно с администрацией: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 организации комнат психологической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разгрузки;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личной гигиены;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ламазан чоь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получение земельных участков под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строительство жилья;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помощь в выделении льготного кредита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(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ипотечного кредита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»);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помощь в продаже товаров, педагогическим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работникам по сниженным (льготным) ценам. 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Кадырова М.Б.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уполномоченная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жилищно-бытовым вопросам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VIII.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</w:t>
                  </w: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информационной работе и обеспечению гласности профсоюзной работы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8.1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Создание системы информирования членов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 (оформление профсоюзного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уголка, информационного стенда). Работа по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регулярному обновлению его материалов.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уполномоченный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8.2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Контроль, за систематическим насыщением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свежей информацией профсоюзного стенда.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доступности информации для членов профсоюза, грамотного расположени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стенда, качества и эстетику его оформления.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8.3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Распространение информации о конкретных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делах профсоюза, основанной на чётком, содержательном и критическом анализе его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работы.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8.4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Активная работа с информационными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ресурсами республиканской организации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8.5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Постоянное участие на республиканских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семинарах для повышения своего профессионального уровня, использование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современных технологий, профсоюзных сайтов в Интернете, в том числе сайте республиканского Совета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8.6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гласности профсоюзной работы.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8.7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контроля и учёта за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поступающими на электронный адрес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информационными пакетами и доведение их содержания до членов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8.8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Регулярная обработка и направление сведений об организованных профкомом мероприятиях и других актуальных вопросах для освещении информационных ресурсах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республиканской организации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8.9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Подготовка и размещение информации о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деятельности ППО на электронной странице сайта школы.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 уполномоченный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информационной работе и обеспечению гласности                                                        профсоюзной работы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8.10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Осуществление подписки на периодическую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профсоюзную печать (газета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Мой профсоюз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»).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август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Шалаева Л.А.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IX.              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правозащитной работе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9.1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профсоюзного контроля, за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соблюдением трудового законодательства 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иных нормативно-правовых актов РФ, субъектов РФ, содержащих нормы трудового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права, органами управления в сфере образования, органами социальной защиты.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правозащитной работе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9.2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Защита социально-трудовых прав членов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профсоюза, в том числе досудебная и судебная.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9.3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Оказание юридической помощи членам профсоюза по вопросам применения трудовогозаконодательства, организация цикла методических семинаров на заседаниях профсоюзных кружков по следующим вопросам: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досрочное назначение пенсии по старости в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связи с педагогической деятельностью;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начисление заработной платы;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выплаты стимулирующего характера;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выплаты компенсационного характера;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трудовые книжки;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трудовые договора;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приём и увольнение, перевод на другую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работу;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правила внутреннего трудового распорядка;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КТС;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контроль, за соблюдением гарантий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профсоюзной деятельности.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9.4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договорном регулировании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социально-трудовых отношений в рамках социального партнёрства.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9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.5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Рассмотрение жалоб и предложений членов  профсоюза.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9.6</w:t>
                  </w: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Своевременное доведение до членов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 изменения, вносимые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Государственной Думой в Трудовой Кодекс, в другие нормативные акты, касающиеся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работников сферы образования, их социальных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льгот.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уполномоченный по правозащитной работе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9.7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Предметное использование информационных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технологий, методических разработок по насыщению знаний членов трудового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коллектива по широкому спектру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правозащитной работы.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9.8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Регулярная организация тестирования членов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 на предмет умения практического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использования знаний правоприменительной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практики.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9.9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Контроль, за соблюдением трудового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законодательства со стороны администрацииобразовательного учреждения в вопросах их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соблюдения социальных прав членов профсоюза, выплаты заработной платы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немотивированного сокращения рабочих мест,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ущемления гарантий выборных профсоюзных органов.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 X.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</w:t>
                  </w:r>
                  <w:r>
                    <w:rPr>
                      <w:rFonts w:ascii="Times New Roman" w:hAnsi="Times New Roman" w:cs="Times New Roman" w:eastAsia="Times New Roman"/>
                      <w:b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делам молодёжи и наставничеству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10.1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с молодыми педагогами в сфере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социальной поддержки при включении их в трудовую деятельность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уполномоченная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</w:t>
                  </w: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делам молодёжи и наставничеству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10.2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закреплении наиболее опытных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педагогов за молодыми и осуществление последующего контроля, за их деятельностью.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август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10.3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Подготовка и реализация мероприятий по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адаптации молодых педагогов в трудовых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коллективах.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сентябрь-октябрь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10.4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Подготовка рекомендаций по работе с 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молодёжью и вопросов их социальной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поддержки для включения в коллективные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договора.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2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раза в год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10.5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Проведение социологического мониторинга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молодых педагогов для отслеживания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динамики ориентации, запросов, интересов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молодых и организация последующей работы в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этом направлении.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сентябрь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10.6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Выявление пожеланий молодёжи в вопросахповышения уровня профессиональных знаний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 навыков работы, организация для них специальных семинаров.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10.7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Осуществление информационно-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методического обеспечения молодёжны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мероприятий, направленных на их духовно нравственное и экономико-правовое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воспитание. Полное взаимодействие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руководителем профсоюзного кружка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ответственность за регулярное участие в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качестве слушателей кружка молодых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педагогов.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уполномоченная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</w:t>
                  </w: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делам молодёжи и наставничеству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10.8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Привлечение постоянного внимания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работодателя, профкома, органов местных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муниципальных властей к решению жилищно-бытовых проблем молодых кадров, к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проблемам молодых семей.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10.9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Регулярное участие в организации досуга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молодёжи. Оказание им необходимой помощи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 организации своего свободного времени.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10.10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трудовых и профессиональных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прав и гарантий молодёжи.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11.11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для молодых педагогов 30% доплаты, а наставникам 10% доплаты, включение этих гарантий в коллективные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договора.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полугодие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Хадисова Р.Ж.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XI.   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вопросу труда и заработной платы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11.1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Осуществление систематического контроля, за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правильным начислением и выдачей заработной платы членам профсоюза, участиев распределении стимулирующего фонда.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системати-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чески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уполномоченный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вопросу труда и заработной платы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11.2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взаимодействия с руководством учебного заведения при распределении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учебной нагрузки членам профсоюза, участие профкома при составлении тарификаци расписания уроков, графика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работы и дежурства.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август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11.3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Организация обучения членов профсоюза по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вопросам труда и заработной платы на занятиях кружка по духовно-нравственному 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правовому воспитанию членов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11.4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Осуществление регулярного контроля, за выполнением работодателем коллективногодоговора в части дополнительных выплат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отдельным категориям работников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(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председателю ППО, молодым специалистам,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ветеранам, наставникам, руководителю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профсоюзного кружка и др.), а также за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правильным распределением стимулирующих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выплат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11.5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Участие в подготовке решений ППО и других документов, касающихся вопросов труда и заработной платы.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11.6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Проведение анализа писем, заявлений, жалоб членов профсоюза и участие в решении трудовых споров по вопросам труда 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заработной  платы, владение полной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информацией: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 фонде заработной платы;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 средней заработной плате основных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категорий работников в МОП;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самая высокая заработная плата и самая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низкая зарплата;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динамика зарплаты хотя бы за три года;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своевременная выплата заработной платы;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обязательная выдача расчётного листка;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анализ правильности начисления заработной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платы.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Бисултанова Л.Д.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уполномоченный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вопросу труда и заработной платы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915" w:type="dxa"/>
                  <w:gridSpan w:val="4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   XII.    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Работа уполномоченного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вопросам пенсионного и социального обеспечения и ФСПУ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12.1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Ведение учёта лиц, выходящих на пенсию.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Ведение учёта членов ФСПУ,вовлечение в фонд новых работников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август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уполномоченный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по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вопросам пенсионного и социального обеспечения и ФСПУ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12.2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Оказание содействия в подготовке документов для оформления пенсии по выслуге лет.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12.3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Оказание помощи в оформлении пенсии постарости.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12.4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Осуществление контроля, за правильностью и своевременностью назначения членам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 пособий.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12.5</w:t>
                  </w: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Взаимодействие с ветеранами труда. В День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Учителя, в другие торжественные,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знаменательные дни организация мероприятий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 чествованию ветеранов.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12.6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Подготовка заявок на санаторно-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оздоровительные путёвки для членов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12.7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Регулярное рассмотрение и изучение на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заседаниях профсоюзного кружка вопросов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пенсионного и социального обеспечения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членов профсоюза.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12.8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Постоянное размещение методических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материалов и нормативных актов на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профсоюзном информационном стенде по вопросам пенсионного и социального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обеспечения работников образования.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12.9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Регулярная организация информационных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встреч с работниками пенсионного фонда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фондов социального и медицинского страхования.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 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раз в год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12.10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Обеспечение правильного оформления 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выплат, пособий дородового и после родового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отпусков и по уходу за ребёнком до1, 5 и 3 лет.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 уполномоченный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по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вопросам пенсионного и социального обеспечения и ФСПУ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73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12.11</w:t>
                  </w:r>
                </w:p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4929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 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Контроль, за правильным оформлением больничных листков и соблюдению прав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инвалидов, матерей воспитывающих детей-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инвалидов.</w:t>
                  </w:r>
                </w:p>
              </w:tc>
              <w:tc>
                <w:tcPr>
                  <w:tcW w:w="1458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в течение</w:t>
                  </w:r>
                </w:p>
                <w:p>
                  <w:pPr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отчётного периода</w:t>
                  </w:r>
                </w:p>
              </w:tc>
              <w:tc>
                <w:tcPr>
                  <w:tcW w:w="2794" w:type="dxa"/>
                  <w:tcBorders>
                    <w:top w:val="single" w:color="000000" w:sz="6"/>
                    <w:left w:val="single" w:color="000000" w:sz="6"/>
                    <w:bottom w:val="single" w:color="000000" w:sz="6"/>
                    <w:right w:val="single" w:color="000000" w:sz="6"/>
                  </w:tcBorders>
                  <w:shd w:color="000000" w:fill="ffffff" w:val="clear"/>
                  <w:tcMar>
                    <w:left w:w="0" w:type="dxa"/>
                    <w:right w:w="0" w:type="dxa"/>
                  </w:tcMar>
                  <w:vAlign w:val="center"/>
                </w:tcPr>
                <w:p>
                  <w:pPr>
                    <w:spacing w:before="0" w:after="18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pacing w:val="0"/>
                      <w:position w:val="0"/>
                      <w:sz w:val="28"/>
                      <w:shd w:fill="auto" w:val="clear"/>
                    </w:rPr>
                    <w:t xml:space="preserve">Сусуркаева Я.М.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профкома:                              Бисултанова Л.Д.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